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6.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18.pdf#PS3.18"/>
  <Relationship Id="r175"
    Type="http://schemas.openxmlformats.org/officeDocument/2006/relationships/hyperlink"
    TargetMode="External"
    Target="part19.pdf#PS3.19"/>
  <Relationship Id="r176"
    Type="http://schemas.openxmlformats.org/officeDocument/2006/relationships/hyperlink"
    TargetMode="External"
    Target="part11.pdf#PS3.11"/>
  <Relationship Id="r177"
    Type="http://schemas.openxmlformats.org/officeDocument/2006/relationships/hyperlink"
    TargetMode="External"
    Target="part15.pdf#PS3.15"/>
  <Relationship Id="r178"
    Type="http://schemas.openxmlformats.org/officeDocument/2006/relationships/hyperlink"
    TargetMode="External"
    Target="part04.pdf#PS3.4"/>
  <Relationship Id="r179"
    Type="http://schemas.openxmlformats.org/officeDocument/2006/relationships/hyperlink"
    TargetMode="External"
    Target="part11.pdf#PS3.11"/>
  <Relationship Id="r180"
    Type="http://schemas.openxmlformats.org/officeDocument/2006/relationships/hyperlink"
    TargetMode="External"
    Target="part18.pdf#PS3.18"/>
  <Relationship Id="r181"
    Type="http://schemas.openxmlformats.org/officeDocument/2006/relationships/hyperlink"
    TargetMode="External"
    Target="part03.pdf#PS3.3"/>
  <Relationship Id="r182"
    Type="http://schemas.openxmlformats.org/officeDocument/2006/relationships/hyperlink"
    TargetMode="External"
    Target="part16.pdf#PS3.16"/>
  <Relationship Id="r183"
    Type="http://schemas.openxmlformats.org/officeDocument/2006/relationships/hyperlink"
    TargetMode="External"
    Target="part20.pdf#PS3.20"/>
  <Relationship Id="r184"
    Type="http://schemas.openxmlformats.org/officeDocument/2006/relationships/hyperlink"
    TargetMode="External"
    Target="part05.pdf#PS3.5"/>
  <Relationship Id="r1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2016c - Introduction and Overview</w:t>
      </w:r>
    </w:p>
    <w:p>
      <w:pPr>
        <w:pageBreakBefore/>
        <w:spacing w:before="216" w:after="0" w:line="240" w:lineRule="auto"/>
        <w:jc w:val="both"/>
      </w:pPr>
      <w:r>
        <w:rPr>
          <w:rFonts w:ascii="Arial" w:hAnsi="Arial"/>
          <w:b/>
          <w:color w:val="000000"/>
          <w:sz w:val="29"/>
        </w:rPr>
        <w:t>PS3.1: DICOM PS3.1 2016c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424421830944"/>
    <w:bookmarkStart w:id="29" w:name="idp140424421829440"/>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424433366928"/>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424433368240"/>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424433369696"/>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424433372688"/>
    <w:bookmarkStart w:id="40" w:name="idp140424433372944"/>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424433374208"/>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424433375520"/>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424433386432"/>
    <w:bookmarkStart w:id="55" w:name="idp140424433386688"/>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424433387936"/>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424433389264"/>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424433394768"/>
    <w:bookmarkStart w:id="66" w:name="idp140424433395024"/>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424433396560"/>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424433398032"/>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424433399664"/>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424421641664"/>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http://​www.iec.ch/​members_experts/​refdocs/​iec/​isoiec-dir2%7Bed6.0%7Den.pdf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424421456528"/>
    <w:bookmarkStart w:id="107" w:name="para_6918bd83_fed4_4a97_882a_3e200b3c28"/>
    <w:p>
      <w:pPr>
        <w:tabs>
          <w:tab w:val="left" w:pos="2880"/>
        </w:tabs>
        <w:spacing w:before="180" w:after="0" w:line="240" w:lineRule="auto"/>
        <w:ind w:left="2880" w:right="0" w:hanging="2880"/>
      </w:pPr>
      <w:bookmarkStart w:id="106" w:name="idp140424421442800"/>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424421407168"/>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424421396640"/>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424421385360"/>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424421369952"/>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424421327648"/>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424421310880"/>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424421295520"/>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424421278912"/>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424421254992"/>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424421245184"/>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424421220480"/>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424421211360"/>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424421187328"/>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424421169712"/>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424421151552"/>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424421138624"/>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424421108960"/>
    <w:bookmarkStart w:id="142" w:name="idp140424421106368"/>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424421084608"/>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424421072448"/>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424421062592"/>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424421051168"/>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424422966464"/>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424422860400"/>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424422755216"/>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424422561296"/>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424422300224"/>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424422132352"/>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424421969632"/>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424422972160"/>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424422932672"/>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bookmarkStart w:id="170" w:name="idp140424422898944"/>
    <w:bookmarkStart w:id="171"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p140424407553264"/>
    <w:bookmarkStart w:id="176" w:name="idp140424407545952"/>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p140424407541632"/>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p140424407564784"/>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p140424434617040"/>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p140424434617952"/>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p140424434618992"/>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p140424434621968"/>
    <w:bookmarkStart w:id="191" w:name="idp140424434622224"/>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p140424434623312"/>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p140424434624448"/>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p140424434627648"/>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p140424434632512"/>
    <w:bookmarkStart w:id="204" w:name="idp140424434632768"/>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p140424434633760"/>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p140424434635632"/>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p140424434637648"/>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p140424434639664"/>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p140424434641728"/>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p140424434643744"/>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p140424434645712"/>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p140424434647792"/>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p140424434648928"/>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p140424434651008"/>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p140424434652976"/>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p140424434655040"/>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p140424434656224"/>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p140424434658240"/>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p140424434660304"/>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p140424434662368"/>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p140424434664384"/>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p140424434666400"/>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p140424434668368"/>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424434675552"/>
    <w:bookmarkStart w:id="249" w:name="idp140424434675808"/>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424434678128"/>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424434685616"/>
    <w:bookmarkStart w:id="257" w:name="idp140424434685872"/>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424434687136"/>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424434688384"/>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424434689680"/>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424434693280"/>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42443469692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424434719280"/>
    <w:bookmarkStart w:id="285" w:name="idp140424434719536"/>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424434720704"/>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424434721952"/>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424434723136"/>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424434747536"/>
    <w:bookmarkStart w:id="303" w:name="idp140424434747792"/>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424434749040"/>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424434750272"/>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424434751472"/>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424434752704"/>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424434756704"/>
    <w:bookmarkStart w:id="316" w:name="idp140424434756960"/>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424434758240"/>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424434759424"/>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424434760800"/>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424434771424"/>
    <w:bookmarkStart w:id="329" w:name="idp140424434771680"/>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30"/>
    <w:bookmarkEnd w:id="329"/>
    <w:bookmarkEnd w:id="328"/>
    <w:bookmarkStart w:id="331" w:name="idp140424434773968"/>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424434776256"/>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424434777520"/>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424434800800"/>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424434805264"/>
    <w:bookmarkStart w:id="351" w:name="idp140424434805520"/>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424434807168"/>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424434808432"/>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424434809776"/>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424434813824"/>
    <w:bookmarkStart w:id="362" w:name="idp140424434814080"/>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424434815360"/>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424434818912"/>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424434827008"/>
    <w:bookmarkStart w:id="374" w:name="idp140424422818016"/>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424422780384"/>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424422746960"/>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424422717328"/>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424422653008"/>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424422645952"/>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424422639680"/>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424422631856"/>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424422609648"/>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42442256179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424422510992"/>
    <w:bookmarkStart w:id="400" w:name="idp140424422508624"/>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424422497152"/>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424422312160"/>
    <w:bookmarkStart w:id="416" w:name="idp140424422301872"/>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424422285664"/>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424422279520"/>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424422272624"/>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424422210240"/>
    <w:bookmarkStart w:id="428" w:name="idp140424422204144"/>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42442201713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424422826416"/>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8" w:name="chapter_7"/>
    <w:p>
      <w:pPr>
        <w:keepNext/>
        <w:spacing w:before="180" w:after="0" w:line="240" w:lineRule="auto"/>
      </w:pPr>
      <w:r>
        <w:rPr>
          <w:rFonts w:ascii="Arial" w:hAnsi="Arial"/>
          <w:b/>
          <w:color w:val="000000"/>
          <w:sz w:val="50"/>
        </w:rPr>
        <w:t>7 Referencing The DICOM Standard</w:t>
      </w:r>
    </w:p>
    <w:bookmarkEnd w:id="448"/>
    <w:bookmarkStart w:id="449"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9"/>
    <w:bookmarkStart w:id="450"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0"/>
    <w:bookmarkStart w:id="451"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1"/>
    <w:bookmarkStart w:id="452"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2"/>
    <w:bookmarkStart w:id="453"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w:t>
      </w:r>
    </w:p>
    <w:bookmarkEnd w:id="453"/>
    <w:bookmarkStart w:id="454" w:name="para_75989daf_c499_4f83_bf67_5ef4e16f85"/>
    <w:p>
      <w:pPr>
        <w:spacing w:before="180" w:after="0" w:line="240" w:lineRule="auto"/>
        <w:jc w:val="both"/>
      </w:pPr>
    </w:p>
    <w:bookmarkEnd w:id="454"/>
    <w:bookmarkStart w:id="455" w:name="idp140424421553056"/>
    <w:bookmarkStart w:id="456" w:name="idp140424421548480"/>
    <w:bookmarkStart w:id="457"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2">
        <w:r>
          <w:rPr>
            <w:rFonts w:ascii="Arial" w:hAnsi="Arial"/>
            <w:color w:val="000000"/>
            <w:sz w:val="18"/>
          </w:rPr>
          <w:t>PS3.4</w:t>
        </w:r>
      </w:hyperlink>
      <w:r>
        <w:rPr>
          <w:rFonts w:ascii="Arial" w:hAnsi="Arial"/>
          <w:color w:val="000000"/>
          <w:sz w:val="18"/>
        </w:rPr>
        <w:t>: Service Class Specifications.”</w:t>
      </w:r>
    </w:p>
    <w:bookmarkEnd w:id="457"/>
    <w:bookmarkEnd w:id="456"/>
    <w:bookmarkEnd w:id="455"/>
    <w:bookmarkStart w:id="458" w:name="idp140424421453616"/>
    <w:bookmarkStart w:id="459"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9"/>
    <w:bookmarkEnd w:id="458"/>
    <w:bookmarkStart w:id="460" w:name="idp140424422828960"/>
    <w:bookmarkStart w:id="461"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as specified in DICOM </w:t>
      </w:r>
      <w:hyperlink r:id="r174">
        <w:r>
          <w:rPr>
            <w:rFonts w:ascii="Arial" w:hAnsi="Arial"/>
            <w:color w:val="000000"/>
            <w:sz w:val="18"/>
          </w:rPr>
          <w:t>PS3.18</w:t>
        </w:r>
      </w:hyperlink>
      <w:r>
        <w:rPr>
          <w:rFonts w:ascii="Arial" w:hAnsi="Arial"/>
          <w:color w:val="000000"/>
          <w:sz w:val="18"/>
        </w:rPr>
        <w:t>: Web Services.”</w:t>
      </w:r>
    </w:p>
    <w:bookmarkEnd w:id="461"/>
    <w:bookmarkEnd w:id="460"/>
    <w:bookmarkStart w:id="462" w:name="idp140424422215104"/>
    <w:bookmarkStart w:id="463"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as specified in DICOM </w:t>
      </w:r>
      <w:hyperlink r:id="r175">
        <w:r>
          <w:rPr>
            <w:rFonts w:ascii="Arial" w:hAnsi="Arial"/>
            <w:color w:val="000000"/>
            <w:sz w:val="18"/>
          </w:rPr>
          <w:t>PS3.19</w:t>
        </w:r>
      </w:hyperlink>
      <w:r>
        <w:rPr>
          <w:rFonts w:ascii="Arial" w:hAnsi="Arial"/>
          <w:color w:val="000000"/>
          <w:sz w:val="18"/>
        </w:rPr>
        <w:t>: Application Hosting.”</w:t>
      </w:r>
    </w:p>
    <w:bookmarkEnd w:id="463"/>
    <w:bookmarkEnd w:id="462"/>
    <w:bookmarkStart w:id="464" w:name="idp140424421646864"/>
    <w:bookmarkStart w:id="465"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[&lt;name&gt; SOP Class], as specified in DICOM </w:t>
      </w:r>
      <w:hyperlink r:id="r176">
        <w:r>
          <w:rPr>
            <w:rFonts w:ascii="Arial" w:hAnsi="Arial"/>
            <w:color w:val="000000"/>
            <w:sz w:val="18"/>
          </w:rPr>
          <w:t>PS3.11</w:t>
        </w:r>
      </w:hyperlink>
      <w:r>
        <w:rPr>
          <w:rFonts w:ascii="Arial" w:hAnsi="Arial"/>
          <w:color w:val="000000"/>
          <w:sz w:val="18"/>
        </w:rPr>
        <w:t>: Media Storage Application Profiles.”</w:t>
      </w:r>
    </w:p>
    <w:bookmarkEnd w:id="465"/>
    <w:bookmarkEnd w:id="464"/>
    <w:bookmarkStart w:id="466" w:name="idp140424422909824"/>
    <w:bookmarkStart w:id="467"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7">
        <w:r>
          <w:rPr>
            <w:rFonts w:ascii="Arial" w:hAnsi="Arial"/>
            <w:color w:val="000000"/>
            <w:sz w:val="18"/>
          </w:rPr>
          <w:t>PS3.15</w:t>
        </w:r>
      </w:hyperlink>
      <w:r>
        <w:rPr>
          <w:rFonts w:ascii="Arial" w:hAnsi="Arial"/>
          <w:color w:val="000000"/>
          <w:sz w:val="18"/>
        </w:rPr>
        <w:t>: Security and System Management Profiles.”</w:t>
      </w:r>
    </w:p>
    <w:bookmarkEnd w:id="467"/>
    <w:bookmarkEnd w:id="466"/>
    <w:bookmarkStart w:id="468" w:name="idp140424422770960"/>
    <w:p>
      <w:pPr>
        <w:keepNext/>
        <w:spacing w:before="180" w:after="0" w:line="240" w:lineRule="auto"/>
        <w:ind w:left="360" w:right="360" w:firstLine="0"/>
        <w:jc w:val="both"/>
      </w:pPr>
      <w:r>
        <w:rPr>
          <w:rFonts w:ascii="Arial" w:hAnsi="Arial"/>
          <w:color w:val="000000"/>
          <w:sz w:val="18"/>
        </w:rPr>
        <w:t>Note</w:t>
      </w:r>
    </w:p>
    <w:bookmarkEnd w:id="468"/>
    <w:bookmarkStart w:id="469" w:name="idp140424422767984"/>
    <w:bookmarkStart w:id="470" w:name="idp140424422761408"/>
    <w:bookmarkStart w:id="471"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1"/>
    <w:bookmarkEnd w:id="470"/>
    <w:bookmarkEnd w:id="469"/>
    <w:p>
      <w:pPr>
        <w:numPr>
          <w:ilvl w:val="0"/>
          <w:numId w:val="22"/>
        </w:numPr>
        <w:tabs>
          <w:tab w:val="left" w:pos="720"/>
        </w:tabs>
        <w:spacing w:before="180" w:after="0" w:line="240" w:lineRule="auto"/>
        <w:ind w:left="720" w:right="0" w:hanging="360"/>
      </w:pPr>
    </w:p>
    <w:bookmarkStart w:id="472" w:name="idp140424422670672"/>
    <w:bookmarkStart w:id="473" w:name="idp140424422664096"/>
    <w:bookmarkStart w:id="474" w:name="idp140424422576976"/>
    <w:bookmarkStart w:id="475"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8">
        <w:r>
          <w:rPr>
            <w:rFonts w:ascii="Arial" w:hAnsi="Arial"/>
            <w:color w:val="000000"/>
            <w:sz w:val="18"/>
          </w:rPr>
          <w:t>PS3.4</w:t>
        </w:r>
      </w:hyperlink>
      <w:r>
        <w:rPr>
          <w:rFonts w:ascii="Arial" w:hAnsi="Arial"/>
          <w:color w:val="000000"/>
          <w:sz w:val="18"/>
        </w:rPr>
        <w:t>: Service Class Specifications.”</w:t>
      </w:r>
    </w:p>
    <w:bookmarkEnd w:id="475"/>
    <w:bookmarkEnd w:id="474"/>
    <w:bookmarkEnd w:id="473"/>
    <w:bookmarkEnd w:id="472"/>
    <w:bookmarkStart w:id="476" w:name="idp140424422299616"/>
    <w:bookmarkStart w:id="477"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77"/>
    <w:bookmarkEnd w:id="476"/>
    <w:bookmarkStart w:id="478" w:name="idp140424421955312"/>
    <w:bookmarkStart w:id="479"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0">
        <w:r>
          <w:rPr>
            <w:rFonts w:ascii="Arial" w:hAnsi="Arial"/>
            <w:color w:val="000000"/>
            <w:sz w:val="18"/>
          </w:rPr>
          <w:t>PS3.18</w:t>
        </w:r>
      </w:hyperlink>
      <w:r>
        <w:rPr>
          <w:rFonts w:ascii="Arial" w:hAnsi="Arial"/>
          <w:color w:val="000000"/>
          <w:sz w:val="18"/>
        </w:rPr>
        <w:t>: Web Services.”</w:t>
      </w:r>
    </w:p>
    <w:bookmarkEnd w:id="479"/>
    <w:bookmarkEnd w:id="478"/>
    <w:bookmarkStart w:id="48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0"/>
    <w:bookmarkStart w:id="481" w:name="idp140424421866368"/>
    <w:bookmarkStart w:id="482" w:name="idp140424421864272"/>
    <w:bookmarkStart w:id="483"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1">
        <w:r>
          <w:rPr>
            <w:rFonts w:ascii="Arial" w:hAnsi="Arial"/>
            <w:color w:val="000000"/>
            <w:sz w:val="18"/>
          </w:rPr>
          <w:t>PS3.3</w:t>
        </w:r>
      </w:hyperlink>
      <w:r>
        <w:rPr>
          <w:rFonts w:ascii="Arial" w:hAnsi="Arial"/>
          <w:color w:val="000000"/>
          <w:sz w:val="18"/>
        </w:rPr>
        <w:t>: Information Object Definitions.”</w:t>
      </w:r>
    </w:p>
    <w:bookmarkEnd w:id="483"/>
    <w:bookmarkEnd w:id="482"/>
    <w:bookmarkEnd w:id="481"/>
    <w:bookmarkStart w:id="484" w:name="idp140424421845360"/>
    <w:bookmarkStart w:id="485"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2">
        <w:r>
          <w:rPr>
            <w:rFonts w:ascii="Arial" w:hAnsi="Arial"/>
            <w:color w:val="000000"/>
            <w:sz w:val="18"/>
          </w:rPr>
          <w:t>PS3.16</w:t>
        </w:r>
      </w:hyperlink>
      <w:r>
        <w:rPr>
          <w:rFonts w:ascii="Arial" w:hAnsi="Arial"/>
          <w:color w:val="000000"/>
          <w:sz w:val="18"/>
        </w:rPr>
        <w:t>: Content Mapping Resource.”</w:t>
      </w:r>
    </w:p>
    <w:bookmarkEnd w:id="485"/>
    <w:bookmarkEnd w:id="484"/>
    <w:bookmarkStart w:id="486" w:name="idp140424421778544"/>
    <w:bookmarkStart w:id="487"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3">
        <w:r>
          <w:rPr>
            <w:rFonts w:ascii="Arial" w:hAnsi="Arial"/>
            <w:color w:val="000000"/>
            <w:sz w:val="18"/>
          </w:rPr>
          <w:t>PS3.20</w:t>
        </w:r>
      </w:hyperlink>
      <w:r>
        <w:rPr>
          <w:rFonts w:ascii="Arial" w:hAnsi="Arial"/>
          <w:color w:val="000000"/>
          <w:sz w:val="18"/>
        </w:rPr>
        <w:t>: Imaging Reports using HL7 Clinical Document Architecture.”</w:t>
      </w:r>
    </w:p>
    <w:bookmarkEnd w:id="487"/>
    <w:bookmarkEnd w:id="486"/>
    <w:bookmarkStart w:id="488" w:name="idp140424421740528"/>
    <w:bookmarkStart w:id="489"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4">
        <w:r>
          <w:rPr>
            <w:rFonts w:ascii="Arial" w:hAnsi="Arial"/>
            <w:color w:val="000000"/>
            <w:sz w:val="18"/>
          </w:rPr>
          <w:t>PS3.5</w:t>
        </w:r>
      </w:hyperlink>
      <w:r>
        <w:rPr>
          <w:rFonts w:ascii="Arial" w:hAnsi="Arial"/>
          <w:color w:val="000000"/>
          <w:sz w:val="18"/>
        </w:rPr>
        <w:t>: Data Structure and Semantics.”</w:t>
      </w:r>
    </w:p>
    <w:bookmarkEnd w:id="489"/>
    <w:bookmarkEnd w:id="488"/>
    <w:bookmarkStart w:id="490" w:name="idp140424421708896"/>
    <w:p>
      <w:pPr>
        <w:keepNext/>
        <w:spacing w:before="180" w:after="0" w:line="240" w:lineRule="auto"/>
        <w:ind w:left="360" w:right="360" w:firstLine="0"/>
        <w:jc w:val="both"/>
      </w:pPr>
      <w:r>
        <w:rPr>
          <w:rFonts w:ascii="Arial" w:hAnsi="Arial"/>
          <w:color w:val="000000"/>
          <w:sz w:val="18"/>
        </w:rPr>
        <w:t>Note</w:t>
      </w:r>
    </w:p>
    <w:bookmarkEnd w:id="490"/>
    <w:bookmarkStart w:id="49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1"/>
    <w:bookmarkStart w:id="49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2"/>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2016c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